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88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>TANYA</w:t>
      </w:r>
    </w:p>
    <w:p w:rsidR="00706681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>Department of Economics</w:t>
      </w:r>
    </w:p>
    <w:p w:rsidR="00706681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 xml:space="preserve">Assistant </w:t>
      </w:r>
      <w:proofErr w:type="gramStart"/>
      <w:r w:rsidRPr="00C86899">
        <w:rPr>
          <w:b/>
          <w:sz w:val="28"/>
          <w:szCs w:val="28"/>
          <w:lang w:val="en-US"/>
        </w:rPr>
        <w:t>Professor(</w:t>
      </w:r>
      <w:proofErr w:type="gramEnd"/>
      <w:r w:rsidRPr="00C86899">
        <w:rPr>
          <w:b/>
          <w:sz w:val="28"/>
          <w:szCs w:val="28"/>
          <w:lang w:val="en-US"/>
        </w:rPr>
        <w:t xml:space="preserve"> Guest Faculty)</w:t>
      </w:r>
    </w:p>
    <w:p w:rsidR="00706681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 xml:space="preserve">D.K. College, </w:t>
      </w:r>
      <w:proofErr w:type="spellStart"/>
      <w:r w:rsidRPr="00C86899">
        <w:rPr>
          <w:b/>
          <w:sz w:val="28"/>
          <w:szCs w:val="28"/>
          <w:lang w:val="en-US"/>
        </w:rPr>
        <w:t>Dumraon</w:t>
      </w:r>
      <w:proofErr w:type="spellEnd"/>
      <w:r w:rsidRPr="00C86899">
        <w:rPr>
          <w:b/>
          <w:sz w:val="28"/>
          <w:szCs w:val="28"/>
          <w:lang w:val="en-US"/>
        </w:rPr>
        <w:t xml:space="preserve"> (</w:t>
      </w:r>
      <w:proofErr w:type="spellStart"/>
      <w:r w:rsidRPr="00C86899">
        <w:rPr>
          <w:b/>
          <w:sz w:val="28"/>
          <w:szCs w:val="28"/>
          <w:lang w:val="en-US"/>
        </w:rPr>
        <w:t>Buxar</w:t>
      </w:r>
      <w:proofErr w:type="spellEnd"/>
      <w:r w:rsidRPr="00C86899">
        <w:rPr>
          <w:b/>
          <w:sz w:val="28"/>
          <w:szCs w:val="28"/>
          <w:lang w:val="en-US"/>
        </w:rPr>
        <w:t>)</w:t>
      </w:r>
    </w:p>
    <w:p w:rsidR="00706681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>B.A. ECONOMICS – Part 1</w:t>
      </w:r>
    </w:p>
    <w:p w:rsidR="00706681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>Paper- 1 (Micro economics)</w:t>
      </w:r>
    </w:p>
    <w:p w:rsidR="00706681" w:rsidRPr="00C86899" w:rsidRDefault="00706681" w:rsidP="00706681">
      <w:pPr>
        <w:pStyle w:val="NoSpacing"/>
        <w:rPr>
          <w:b/>
          <w:sz w:val="28"/>
          <w:szCs w:val="28"/>
          <w:lang w:val="en-US"/>
        </w:rPr>
      </w:pPr>
      <w:r w:rsidRPr="00C86899">
        <w:rPr>
          <w:b/>
          <w:sz w:val="28"/>
          <w:szCs w:val="28"/>
          <w:lang w:val="en-US"/>
        </w:rPr>
        <w:t xml:space="preserve">Topic – Law of </w:t>
      </w:r>
      <w:proofErr w:type="spellStart"/>
      <w:r w:rsidRPr="00C86899">
        <w:rPr>
          <w:b/>
          <w:sz w:val="28"/>
          <w:szCs w:val="28"/>
          <w:lang w:val="en-US"/>
        </w:rPr>
        <w:t>Dimnishing</w:t>
      </w:r>
      <w:proofErr w:type="spellEnd"/>
      <w:r w:rsidRPr="00C86899">
        <w:rPr>
          <w:b/>
          <w:sz w:val="28"/>
          <w:szCs w:val="28"/>
          <w:lang w:val="en-US"/>
        </w:rPr>
        <w:t xml:space="preserve"> Marginal Utility</w:t>
      </w:r>
    </w:p>
    <w:p w:rsidR="00706681" w:rsidRPr="00C86899" w:rsidRDefault="00706681" w:rsidP="00706681">
      <w:pPr>
        <w:pStyle w:val="NoSpacing"/>
        <w:rPr>
          <w:b/>
          <w:sz w:val="32"/>
          <w:szCs w:val="32"/>
          <w:lang w:val="en-US"/>
        </w:rPr>
      </w:pPr>
    </w:p>
    <w:p w:rsidR="00706681" w:rsidRDefault="00706681" w:rsidP="00706681">
      <w:pPr>
        <w:pStyle w:val="NoSpacing"/>
        <w:rPr>
          <w:sz w:val="24"/>
          <w:szCs w:val="24"/>
          <w:lang w:val="en-US"/>
        </w:rPr>
      </w:pPr>
    </w:p>
    <w:p w:rsidR="00706681" w:rsidRPr="00C86899" w:rsidRDefault="00706681" w:rsidP="00706681">
      <w:pPr>
        <w:pStyle w:val="NoSpacing"/>
        <w:rPr>
          <w:b/>
          <w:sz w:val="32"/>
          <w:szCs w:val="32"/>
          <w:lang w:val="en-US"/>
        </w:rPr>
      </w:pPr>
      <w:r w:rsidRPr="00C86899">
        <w:rPr>
          <w:b/>
          <w:sz w:val="32"/>
          <w:szCs w:val="32"/>
          <w:lang w:val="en-US"/>
        </w:rPr>
        <w:t xml:space="preserve">                        </w:t>
      </w:r>
      <w:bookmarkStart w:id="0" w:name="_GoBack"/>
      <w:bookmarkEnd w:id="0"/>
      <w:r w:rsidRPr="00C86899">
        <w:rPr>
          <w:b/>
          <w:sz w:val="32"/>
          <w:szCs w:val="32"/>
          <w:lang w:val="en-US"/>
        </w:rPr>
        <w:t xml:space="preserve">   </w:t>
      </w:r>
      <w:r w:rsidRPr="00C86899">
        <w:rPr>
          <w:b/>
          <w:color w:val="FF0000"/>
          <w:sz w:val="32"/>
          <w:szCs w:val="32"/>
          <w:u w:val="single"/>
          <w:lang w:val="en-US"/>
        </w:rPr>
        <w:t>LAW OF DIMNISHING MARGINAL UTILITY</w:t>
      </w:r>
      <w:r w:rsidRPr="00C86899">
        <w:rPr>
          <w:b/>
          <w:sz w:val="32"/>
          <w:szCs w:val="32"/>
          <w:lang w:val="en-US"/>
        </w:rPr>
        <w:t>:</w:t>
      </w:r>
    </w:p>
    <w:p w:rsidR="00706681" w:rsidRPr="00C86899" w:rsidRDefault="00706681" w:rsidP="00706681">
      <w:pPr>
        <w:pStyle w:val="NoSpacing"/>
        <w:rPr>
          <w:sz w:val="32"/>
          <w:szCs w:val="32"/>
          <w:lang w:val="en-US"/>
        </w:rPr>
      </w:pPr>
    </w:p>
    <w:p w:rsidR="00706681" w:rsidRPr="00831599" w:rsidRDefault="00706681" w:rsidP="00706681">
      <w:pPr>
        <w:pStyle w:val="NoSpacing"/>
        <w:rPr>
          <w:sz w:val="32"/>
          <w:szCs w:val="32"/>
          <w:lang w:val="en-US"/>
        </w:rPr>
      </w:pPr>
      <w:r w:rsidRPr="00831599">
        <w:rPr>
          <w:sz w:val="32"/>
          <w:szCs w:val="32"/>
          <w:lang w:val="en-US"/>
        </w:rPr>
        <w:t>It is the foundation stone of Utility Analysis.</w:t>
      </w:r>
    </w:p>
    <w:p w:rsidR="00706681" w:rsidRPr="00831599" w:rsidRDefault="00706681" w:rsidP="00706681">
      <w:pPr>
        <w:pStyle w:val="NoSpacing"/>
        <w:rPr>
          <w:sz w:val="32"/>
          <w:szCs w:val="32"/>
          <w:lang w:val="en-US"/>
        </w:rPr>
      </w:pPr>
      <w:r w:rsidRPr="00831599">
        <w:rPr>
          <w:sz w:val="32"/>
          <w:szCs w:val="32"/>
          <w:lang w:val="en-US"/>
        </w:rPr>
        <w:t xml:space="preserve">The law states that, other </w:t>
      </w:r>
      <w:r w:rsidR="00831599" w:rsidRPr="00831599">
        <w:rPr>
          <w:sz w:val="32"/>
          <w:szCs w:val="32"/>
          <w:lang w:val="en-US"/>
        </w:rPr>
        <w:t>things being equal, the marginal utility (MU) of a good diminishes as more and more of it is consumed in a given time period.</w:t>
      </w:r>
    </w:p>
    <w:p w:rsidR="00831599" w:rsidRPr="00831599" w:rsidRDefault="00831599" w:rsidP="00706681">
      <w:pPr>
        <w:pStyle w:val="NoSpacing"/>
        <w:rPr>
          <w:sz w:val="32"/>
          <w:szCs w:val="32"/>
          <w:lang w:val="en-US"/>
        </w:rPr>
      </w:pPr>
      <w:r w:rsidRPr="00831599">
        <w:rPr>
          <w:sz w:val="32"/>
          <w:szCs w:val="32"/>
          <w:lang w:val="en-US"/>
        </w:rPr>
        <w:t xml:space="preserve">                                  But it should be noted that is the marginal utility </w:t>
      </w:r>
      <w:r>
        <w:rPr>
          <w:sz w:val="32"/>
          <w:szCs w:val="32"/>
          <w:lang w:val="en-US"/>
        </w:rPr>
        <w:t xml:space="preserve">(MU) </w:t>
      </w:r>
      <w:r w:rsidRPr="00831599">
        <w:rPr>
          <w:sz w:val="32"/>
          <w:szCs w:val="32"/>
          <w:lang w:val="en-US"/>
        </w:rPr>
        <w:t xml:space="preserve">that declines and not the total </w:t>
      </w:r>
      <w:proofErr w:type="gramStart"/>
      <w:r w:rsidRPr="00831599">
        <w:rPr>
          <w:sz w:val="32"/>
          <w:szCs w:val="32"/>
          <w:lang w:val="en-US"/>
        </w:rPr>
        <w:t>utility</w:t>
      </w:r>
      <w:r>
        <w:rPr>
          <w:sz w:val="32"/>
          <w:szCs w:val="32"/>
          <w:lang w:val="en-US"/>
        </w:rPr>
        <w:t>(</w:t>
      </w:r>
      <w:proofErr w:type="gramEnd"/>
      <w:r>
        <w:rPr>
          <w:sz w:val="32"/>
          <w:szCs w:val="32"/>
          <w:lang w:val="en-US"/>
        </w:rPr>
        <w:t xml:space="preserve">TU) </w:t>
      </w:r>
      <w:r w:rsidRPr="00831599">
        <w:rPr>
          <w:sz w:val="32"/>
          <w:szCs w:val="32"/>
          <w:lang w:val="en-US"/>
        </w:rPr>
        <w:t>.</w:t>
      </w:r>
    </w:p>
    <w:p w:rsidR="00831599" w:rsidRDefault="00831599" w:rsidP="00706681">
      <w:pPr>
        <w:pStyle w:val="NoSpacing"/>
        <w:rPr>
          <w:b/>
          <w:sz w:val="32"/>
          <w:szCs w:val="32"/>
          <w:u w:val="single"/>
          <w:lang w:val="en-US"/>
        </w:rPr>
      </w:pPr>
      <w:proofErr w:type="gramStart"/>
      <w:r w:rsidRPr="00831599">
        <w:rPr>
          <w:b/>
          <w:sz w:val="32"/>
          <w:szCs w:val="32"/>
          <w:u w:val="single"/>
          <w:lang w:val="en-US"/>
        </w:rPr>
        <w:t>The law of diminishing MU means that TU increases but at a diminishing rate.</w:t>
      </w:r>
      <w:proofErr w:type="gramEnd"/>
    </w:p>
    <w:p w:rsidR="00831599" w:rsidRDefault="00831599" w:rsidP="00706681">
      <w:pPr>
        <w:pStyle w:val="NoSpacing"/>
        <w:rPr>
          <w:b/>
          <w:sz w:val="32"/>
          <w:szCs w:val="32"/>
          <w:u w:val="single"/>
          <w:lang w:val="en-US"/>
        </w:rPr>
      </w:pPr>
    </w:p>
    <w:p w:rsidR="00831599" w:rsidRPr="00831599" w:rsidRDefault="00831599" w:rsidP="00706681">
      <w:pPr>
        <w:pStyle w:val="NoSpacing"/>
        <w:rPr>
          <w:sz w:val="32"/>
          <w:szCs w:val="32"/>
          <w:lang w:val="en-US"/>
        </w:rPr>
      </w:pPr>
    </w:p>
    <w:p w:rsidR="00831599" w:rsidRDefault="00831599" w:rsidP="00706681">
      <w:pPr>
        <w:pStyle w:val="NoSpacing"/>
        <w:rPr>
          <w:color w:val="FF0000"/>
          <w:sz w:val="32"/>
          <w:szCs w:val="32"/>
          <w:lang w:val="en-US"/>
        </w:rPr>
      </w:pPr>
      <w:r w:rsidRPr="00831599">
        <w:rPr>
          <w:color w:val="FF0000"/>
          <w:sz w:val="32"/>
          <w:szCs w:val="32"/>
          <w:lang w:val="en-US"/>
        </w:rPr>
        <w:t xml:space="preserve">Hermann Heinrich </w:t>
      </w:r>
      <w:proofErr w:type="spellStart"/>
      <w:r w:rsidRPr="00831599">
        <w:rPr>
          <w:color w:val="FF0000"/>
          <w:sz w:val="32"/>
          <w:szCs w:val="32"/>
          <w:lang w:val="en-US"/>
        </w:rPr>
        <w:t>Gossen</w:t>
      </w:r>
      <w:proofErr w:type="spellEnd"/>
      <w:r w:rsidRPr="00831599">
        <w:rPr>
          <w:color w:val="FF0000"/>
          <w:sz w:val="32"/>
          <w:szCs w:val="32"/>
          <w:lang w:val="en-US"/>
        </w:rPr>
        <w:t xml:space="preserve"> was the first to formulate this law in 1854</w:t>
      </w:r>
      <w:proofErr w:type="gramStart"/>
      <w:r w:rsidRPr="00831599">
        <w:rPr>
          <w:color w:val="FF0000"/>
          <w:sz w:val="32"/>
          <w:szCs w:val="32"/>
          <w:lang w:val="en-US"/>
        </w:rPr>
        <w:t>,though</w:t>
      </w:r>
      <w:proofErr w:type="gramEnd"/>
      <w:r w:rsidRPr="00831599">
        <w:rPr>
          <w:color w:val="FF0000"/>
          <w:sz w:val="32"/>
          <w:szCs w:val="32"/>
          <w:lang w:val="en-US"/>
        </w:rPr>
        <w:t xml:space="preserve"> the name was given by Marshall.</w:t>
      </w:r>
    </w:p>
    <w:p w:rsidR="00EA4272" w:rsidRDefault="00EA4272" w:rsidP="00706681">
      <w:pPr>
        <w:pStyle w:val="NoSpacing"/>
        <w:rPr>
          <w:color w:val="FF0000"/>
          <w:sz w:val="32"/>
          <w:szCs w:val="32"/>
          <w:lang w:val="en-US"/>
        </w:rPr>
      </w:pPr>
    </w:p>
    <w:p w:rsidR="00EA4272" w:rsidRDefault="00EA4272" w:rsidP="00706681">
      <w:pPr>
        <w:pStyle w:val="NoSpacing"/>
        <w:rPr>
          <w:color w:val="FF0000"/>
          <w:sz w:val="32"/>
          <w:szCs w:val="32"/>
          <w:lang w:val="en-US"/>
        </w:rPr>
      </w:pPr>
    </w:p>
    <w:p w:rsidR="00831599" w:rsidRPr="00C86899" w:rsidRDefault="00EA4272" w:rsidP="00706681">
      <w:pPr>
        <w:pStyle w:val="NoSpacing"/>
        <w:rPr>
          <w:rFonts w:ascii="Georgia" w:hAnsi="Georgia"/>
          <w:color w:val="424142"/>
          <w:sz w:val="32"/>
          <w:szCs w:val="32"/>
          <w:shd w:val="clear" w:color="auto" w:fill="FFFFFF"/>
        </w:rPr>
      </w:pPr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The Law o</w:t>
      </w:r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 xml:space="preserve">f Diminishing Marginal </w:t>
      </w:r>
      <w:proofErr w:type="gramStart"/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Utility,</w:t>
      </w:r>
      <w:proofErr w:type="gramEnd"/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 xml:space="preserve"> is derived from one of the characteristics of human wants. It is observed that although a person cannot satisfy all of his </w:t>
      </w:r>
      <w:r w:rsidR="00536AF9"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wants, he can satisfy one of tho</w:t>
      </w:r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se provided he has the means to do it. As he</w:t>
      </w:r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 xml:space="preserve"> gets more and more of a </w:t>
      </w:r>
      <w:proofErr w:type="gramStart"/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thing ,</w:t>
      </w:r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his</w:t>
      </w:r>
      <w:proofErr w:type="gramEnd"/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 xml:space="preserve"> intensity of desire for that thing gradually diminishes, indicating that additional utility decreases as its total stock increase</w:t>
      </w:r>
      <w:r w:rsidRPr="00C86899">
        <w:rPr>
          <w:rFonts w:ascii="Georgia" w:hAnsi="Georgia"/>
          <w:color w:val="424142"/>
          <w:sz w:val="32"/>
          <w:szCs w:val="32"/>
          <w:shd w:val="clear" w:color="auto" w:fill="FFFFFF"/>
        </w:rPr>
        <w:t>s.</w:t>
      </w:r>
    </w:p>
    <w:p w:rsidR="00AE72FF" w:rsidRDefault="00AE72FF" w:rsidP="00706681">
      <w:pPr>
        <w:pStyle w:val="NoSpacing"/>
        <w:rPr>
          <w:rFonts w:ascii="Georgia" w:hAnsi="Georgia"/>
          <w:color w:val="424142"/>
          <w:sz w:val="30"/>
          <w:szCs w:val="30"/>
          <w:shd w:val="clear" w:color="auto" w:fill="FFFFFF"/>
        </w:rPr>
      </w:pPr>
    </w:p>
    <w:p w:rsidR="00AE72FF" w:rsidRDefault="00AE72FF" w:rsidP="00706681">
      <w:pPr>
        <w:pStyle w:val="NoSpacing"/>
        <w:rPr>
          <w:rFonts w:ascii="Georgia" w:hAnsi="Georgia"/>
          <w:color w:val="424142"/>
          <w:sz w:val="30"/>
          <w:szCs w:val="30"/>
          <w:shd w:val="clear" w:color="auto" w:fill="FFFFFF"/>
        </w:rPr>
      </w:pPr>
    </w:p>
    <w:p w:rsidR="00EA4272" w:rsidRPr="00C86899" w:rsidRDefault="00EA4272" w:rsidP="00706681">
      <w:pPr>
        <w:pStyle w:val="NoSpacing"/>
        <w:rPr>
          <w:rFonts w:ascii="Georgia" w:hAnsi="Georgia"/>
          <w:color w:val="424142"/>
          <w:sz w:val="30"/>
          <w:szCs w:val="30"/>
          <w:u w:val="single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</w:t>
      </w:r>
      <w:proofErr w:type="gramStart"/>
      <w:r w:rsidRPr="00C86899">
        <w:rPr>
          <w:rFonts w:ascii="Georgia" w:hAnsi="Georgia"/>
          <w:color w:val="424142"/>
          <w:sz w:val="30"/>
          <w:szCs w:val="30"/>
          <w:u w:val="single"/>
          <w:shd w:val="clear" w:color="auto" w:fill="FFFFFF"/>
        </w:rPr>
        <w:t>Example :</w:t>
      </w:r>
      <w:proofErr w:type="gramEnd"/>
    </w:p>
    <w:p w:rsidR="00AE72FF" w:rsidRDefault="00AE72FF" w:rsidP="00706681">
      <w:pPr>
        <w:pStyle w:val="NoSpacing"/>
        <w:rPr>
          <w:rFonts w:ascii="Georgia" w:hAnsi="Georgia"/>
          <w:color w:val="424142"/>
          <w:sz w:val="30"/>
          <w:szCs w:val="30"/>
          <w:shd w:val="clear" w:color="auto" w:fill="FFFFFF"/>
        </w:rPr>
      </w:pPr>
    </w:p>
    <w:p w:rsidR="00EA4272" w:rsidRDefault="00EA4272" w:rsidP="00706681">
      <w:pPr>
        <w:pStyle w:val="NoSpacing"/>
        <w:rPr>
          <w:spacing w:val="-4"/>
          <w:sz w:val="33"/>
          <w:szCs w:val="33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lastRenderedPageBreak/>
        <w:t xml:space="preserve"> </w:t>
      </w:r>
      <w:r w:rsidR="00AE72FF">
        <w:rPr>
          <w:spacing w:val="-4"/>
          <w:sz w:val="33"/>
          <w:szCs w:val="33"/>
          <w:shd w:val="clear" w:color="auto" w:fill="FFFFFF"/>
        </w:rPr>
        <w:t xml:space="preserve">The table below presents the total and marginal utility derived by </w:t>
      </w:r>
      <w:proofErr w:type="gramStart"/>
      <w:r w:rsidR="00AE72FF">
        <w:rPr>
          <w:spacing w:val="-4"/>
          <w:sz w:val="33"/>
          <w:szCs w:val="33"/>
          <w:shd w:val="clear" w:color="auto" w:fill="FFFFFF"/>
        </w:rPr>
        <w:t xml:space="preserve">Ramesh </w:t>
      </w:r>
      <w:r w:rsidR="00AE72FF">
        <w:rPr>
          <w:spacing w:val="-4"/>
          <w:sz w:val="33"/>
          <w:szCs w:val="33"/>
          <w:shd w:val="clear" w:color="auto" w:fill="FFFFFF"/>
        </w:rPr>
        <w:t xml:space="preserve"> from</w:t>
      </w:r>
      <w:proofErr w:type="gramEnd"/>
      <w:r w:rsidR="00AE72FF">
        <w:rPr>
          <w:spacing w:val="-4"/>
          <w:sz w:val="33"/>
          <w:szCs w:val="33"/>
          <w:shd w:val="clear" w:color="auto" w:fill="FFFFFF"/>
        </w:rPr>
        <w:t xml:space="preserve"> consuming cups of tea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Quantity of Tea Consumed:</w:t>
            </w:r>
          </w:p>
        </w:tc>
        <w:tc>
          <w:tcPr>
            <w:tcW w:w="3081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 xml:space="preserve">       Total Utility</w:t>
            </w:r>
          </w:p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 xml:space="preserve">           (</w:t>
            </w:r>
            <w:proofErr w:type="spellStart"/>
            <w:r>
              <w:rPr>
                <w:spacing w:val="-4"/>
                <w:sz w:val="33"/>
                <w:szCs w:val="33"/>
                <w:shd w:val="clear" w:color="auto" w:fill="FFFFFF"/>
              </w:rPr>
              <w:t>Utils</w:t>
            </w:r>
            <w:proofErr w:type="spellEnd"/>
            <w:r>
              <w:rPr>
                <w:spacing w:val="-4"/>
                <w:sz w:val="33"/>
                <w:szCs w:val="33"/>
                <w:shd w:val="clear" w:color="auto" w:fill="FFFFFF"/>
              </w:rPr>
              <w:t>)</w:t>
            </w:r>
          </w:p>
        </w:tc>
        <w:tc>
          <w:tcPr>
            <w:tcW w:w="3081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 xml:space="preserve">       Marginal Utility</w:t>
            </w:r>
          </w:p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 xml:space="preserve">             (</w:t>
            </w:r>
            <w:proofErr w:type="spellStart"/>
            <w:r>
              <w:rPr>
                <w:spacing w:val="-4"/>
                <w:sz w:val="33"/>
                <w:szCs w:val="33"/>
                <w:shd w:val="clear" w:color="auto" w:fill="FFFFFF"/>
              </w:rPr>
              <w:t>Utils</w:t>
            </w:r>
            <w:proofErr w:type="spellEnd"/>
            <w:r>
              <w:rPr>
                <w:spacing w:val="-4"/>
                <w:sz w:val="33"/>
                <w:szCs w:val="33"/>
                <w:shd w:val="clear" w:color="auto" w:fill="FFFFFF"/>
              </w:rPr>
              <w:t>)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AE72FF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 xml:space="preserve">1 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30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30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2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50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20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3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65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15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4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75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10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5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83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08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6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89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06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7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93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04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8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96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03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9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98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02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10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99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00</w:t>
            </w:r>
          </w:p>
        </w:tc>
      </w:tr>
      <w:tr w:rsidR="00AE72FF" w:rsidTr="00AE72FF">
        <w:tc>
          <w:tcPr>
            <w:tcW w:w="3080" w:type="dxa"/>
          </w:tcPr>
          <w:p w:rsidR="00AE72FF" w:rsidRDefault="00AE72FF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11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95</w:t>
            </w:r>
          </w:p>
        </w:tc>
        <w:tc>
          <w:tcPr>
            <w:tcW w:w="3081" w:type="dxa"/>
          </w:tcPr>
          <w:p w:rsidR="00AE72FF" w:rsidRDefault="00536AF9" w:rsidP="00706681">
            <w:pPr>
              <w:pStyle w:val="NoSpacing"/>
              <w:rPr>
                <w:spacing w:val="-4"/>
                <w:sz w:val="33"/>
                <w:szCs w:val="33"/>
                <w:shd w:val="clear" w:color="auto" w:fill="FFFFFF"/>
              </w:rPr>
            </w:pPr>
            <w:r>
              <w:rPr>
                <w:spacing w:val="-4"/>
                <w:sz w:val="33"/>
                <w:szCs w:val="33"/>
                <w:shd w:val="clear" w:color="auto" w:fill="FFFFFF"/>
              </w:rPr>
              <w:t>-04</w:t>
            </w:r>
          </w:p>
        </w:tc>
      </w:tr>
    </w:tbl>
    <w:p w:rsidR="00AE72FF" w:rsidRDefault="00AE72FF" w:rsidP="00706681">
      <w:pPr>
        <w:pStyle w:val="NoSpacing"/>
        <w:rPr>
          <w:spacing w:val="-4"/>
          <w:sz w:val="33"/>
          <w:szCs w:val="33"/>
          <w:shd w:val="clear" w:color="auto" w:fill="FFFFFF"/>
        </w:rPr>
      </w:pPr>
    </w:p>
    <w:p w:rsidR="00536AF9" w:rsidRDefault="00536AF9" w:rsidP="00706681">
      <w:pPr>
        <w:pStyle w:val="NoSpacing"/>
        <w:rPr>
          <w:spacing w:val="-4"/>
          <w:sz w:val="33"/>
          <w:szCs w:val="33"/>
          <w:shd w:val="clear" w:color="auto" w:fill="FFFFFF"/>
        </w:rPr>
      </w:pPr>
      <w:r>
        <w:rPr>
          <w:spacing w:val="-4"/>
          <w:sz w:val="33"/>
          <w:szCs w:val="33"/>
          <w:shd w:val="clear" w:color="auto" w:fill="FFFFFF"/>
        </w:rPr>
        <w:t>As seen in the table above, when</w:t>
      </w:r>
      <w:r>
        <w:rPr>
          <w:spacing w:val="-4"/>
          <w:sz w:val="33"/>
          <w:szCs w:val="33"/>
          <w:shd w:val="clear" w:color="auto" w:fill="FFFFFF"/>
        </w:rPr>
        <w:t xml:space="preserve"> </w:t>
      </w:r>
      <w:proofErr w:type="gramStart"/>
      <w:r>
        <w:rPr>
          <w:spacing w:val="-4"/>
          <w:sz w:val="33"/>
          <w:szCs w:val="33"/>
          <w:shd w:val="clear" w:color="auto" w:fill="FFFFFF"/>
        </w:rPr>
        <w:t xml:space="preserve">Ramesh </w:t>
      </w:r>
      <w:r>
        <w:rPr>
          <w:spacing w:val="-4"/>
          <w:sz w:val="33"/>
          <w:szCs w:val="33"/>
          <w:shd w:val="clear" w:color="auto" w:fill="FFFFFF"/>
        </w:rPr>
        <w:t xml:space="preserve"> consumes</w:t>
      </w:r>
      <w:proofErr w:type="gramEnd"/>
      <w:r>
        <w:rPr>
          <w:spacing w:val="-4"/>
          <w:sz w:val="33"/>
          <w:szCs w:val="33"/>
          <w:shd w:val="clear" w:color="auto" w:fill="FFFFFF"/>
        </w:rPr>
        <w:t xml:space="preserve"> </w:t>
      </w:r>
      <w:r>
        <w:rPr>
          <w:spacing w:val="-4"/>
          <w:sz w:val="33"/>
          <w:szCs w:val="33"/>
          <w:shd w:val="clear" w:color="auto" w:fill="FFFFFF"/>
        </w:rPr>
        <w:t xml:space="preserve"> </w:t>
      </w:r>
      <w:r>
        <w:rPr>
          <w:spacing w:val="-4"/>
          <w:sz w:val="33"/>
          <w:szCs w:val="33"/>
          <w:shd w:val="clear" w:color="auto" w:fill="FFFFFF"/>
        </w:rPr>
        <w:t xml:space="preserve">one cup of tea in a day, he derives a total utility of 30 </w:t>
      </w:r>
      <w:proofErr w:type="spellStart"/>
      <w:r>
        <w:rPr>
          <w:spacing w:val="-4"/>
          <w:sz w:val="33"/>
          <w:szCs w:val="33"/>
          <w:shd w:val="clear" w:color="auto" w:fill="FFFFFF"/>
        </w:rPr>
        <w:t>utils</w:t>
      </w:r>
      <w:proofErr w:type="spellEnd"/>
      <w:r>
        <w:rPr>
          <w:spacing w:val="-4"/>
          <w:sz w:val="33"/>
          <w:szCs w:val="33"/>
          <w:shd w:val="clear" w:color="auto" w:fill="FFFFFF"/>
        </w:rPr>
        <w:t xml:space="preserve"> (unit of utility) and a marginal utility of 30 </w:t>
      </w:r>
      <w:proofErr w:type="spellStart"/>
      <w:r>
        <w:rPr>
          <w:spacing w:val="-4"/>
          <w:sz w:val="33"/>
          <w:szCs w:val="33"/>
          <w:shd w:val="clear" w:color="auto" w:fill="FFFFFF"/>
        </w:rPr>
        <w:t>utils</w:t>
      </w:r>
      <w:proofErr w:type="spellEnd"/>
      <w:r>
        <w:rPr>
          <w:spacing w:val="-4"/>
          <w:sz w:val="33"/>
          <w:szCs w:val="33"/>
          <w:shd w:val="clear" w:color="auto" w:fill="FFFFFF"/>
        </w:rPr>
        <w:t xml:space="preserve">. When he takes two cups per day, the total utility rises to 50 </w:t>
      </w:r>
      <w:proofErr w:type="spellStart"/>
      <w:r>
        <w:rPr>
          <w:spacing w:val="-4"/>
          <w:sz w:val="33"/>
          <w:szCs w:val="33"/>
          <w:shd w:val="clear" w:color="auto" w:fill="FFFFFF"/>
        </w:rPr>
        <w:t>utils</w:t>
      </w:r>
      <w:proofErr w:type="spellEnd"/>
      <w:r>
        <w:rPr>
          <w:spacing w:val="-4"/>
          <w:sz w:val="33"/>
          <w:szCs w:val="33"/>
          <w:shd w:val="clear" w:color="auto" w:fill="FFFFFF"/>
        </w:rPr>
        <w:t xml:space="preserve"> but the marginal utility falls to 20. This trend continues until </w:t>
      </w:r>
      <w:r w:rsidR="00C86899">
        <w:rPr>
          <w:spacing w:val="-4"/>
          <w:sz w:val="33"/>
          <w:szCs w:val="33"/>
          <w:shd w:val="clear" w:color="auto" w:fill="FFFFFF"/>
        </w:rPr>
        <w:t>Ramesh Consumes 11</w:t>
      </w:r>
      <w:r w:rsidR="00C86899" w:rsidRPr="00C86899">
        <w:rPr>
          <w:spacing w:val="-4"/>
          <w:sz w:val="33"/>
          <w:szCs w:val="33"/>
          <w:shd w:val="clear" w:color="auto" w:fill="FFFFFF"/>
          <w:vertAlign w:val="superscript"/>
        </w:rPr>
        <w:t>th</w:t>
      </w:r>
      <w:r w:rsidR="00C86899">
        <w:rPr>
          <w:spacing w:val="-4"/>
          <w:sz w:val="33"/>
          <w:szCs w:val="33"/>
          <w:shd w:val="clear" w:color="auto" w:fill="FFFFFF"/>
        </w:rPr>
        <w:t xml:space="preserve"> Cup of </w:t>
      </w:r>
      <w:proofErr w:type="gramStart"/>
      <w:r w:rsidR="00C86899">
        <w:rPr>
          <w:spacing w:val="-4"/>
          <w:sz w:val="33"/>
          <w:szCs w:val="33"/>
          <w:shd w:val="clear" w:color="auto" w:fill="FFFFFF"/>
        </w:rPr>
        <w:t xml:space="preserve">Tea </w:t>
      </w:r>
      <w:r>
        <w:rPr>
          <w:spacing w:val="-4"/>
          <w:sz w:val="33"/>
          <w:szCs w:val="33"/>
          <w:shd w:val="clear" w:color="auto" w:fill="FFFFFF"/>
        </w:rPr>
        <w:t xml:space="preserve"> where</w:t>
      </w:r>
      <w:proofErr w:type="gramEnd"/>
      <w:r>
        <w:rPr>
          <w:spacing w:val="-4"/>
          <w:sz w:val="33"/>
          <w:szCs w:val="33"/>
          <w:shd w:val="clear" w:color="auto" w:fill="FFFFFF"/>
        </w:rPr>
        <w:t xml:space="preserve"> the marginal utility i</w:t>
      </w:r>
      <w:r>
        <w:rPr>
          <w:spacing w:val="-4"/>
          <w:sz w:val="33"/>
          <w:szCs w:val="33"/>
          <w:shd w:val="clear" w:color="auto" w:fill="FFFFFF"/>
        </w:rPr>
        <w:t xml:space="preserve">s negative. This means that </w:t>
      </w:r>
      <w:proofErr w:type="gramStart"/>
      <w:r>
        <w:rPr>
          <w:spacing w:val="-4"/>
          <w:sz w:val="33"/>
          <w:szCs w:val="33"/>
          <w:shd w:val="clear" w:color="auto" w:fill="FFFFFF"/>
        </w:rPr>
        <w:t>if  Ramesh</w:t>
      </w:r>
      <w:proofErr w:type="gramEnd"/>
      <w:r>
        <w:rPr>
          <w:spacing w:val="-4"/>
          <w:sz w:val="33"/>
          <w:szCs w:val="33"/>
          <w:shd w:val="clear" w:color="auto" w:fill="FFFFFF"/>
        </w:rPr>
        <w:t xml:space="preserve"> </w:t>
      </w:r>
      <w:r>
        <w:rPr>
          <w:spacing w:val="-4"/>
          <w:sz w:val="33"/>
          <w:szCs w:val="33"/>
          <w:shd w:val="clear" w:color="auto" w:fill="FFFFFF"/>
        </w:rPr>
        <w:t xml:space="preserve"> consumes </w:t>
      </w:r>
      <w:r>
        <w:rPr>
          <w:spacing w:val="-4"/>
          <w:sz w:val="33"/>
          <w:szCs w:val="33"/>
          <w:shd w:val="clear" w:color="auto" w:fill="FFFFFF"/>
        </w:rPr>
        <w:t xml:space="preserve"> </w:t>
      </w:r>
      <w:r>
        <w:rPr>
          <w:spacing w:val="-4"/>
          <w:sz w:val="33"/>
          <w:szCs w:val="33"/>
          <w:shd w:val="clear" w:color="auto" w:fill="FFFFFF"/>
        </w:rPr>
        <w:t>11 or more cups of tea per day, then he might fall sick.</w:t>
      </w:r>
    </w:p>
    <w:p w:rsidR="00536AF9" w:rsidRDefault="00536AF9" w:rsidP="00706681">
      <w:pPr>
        <w:pStyle w:val="NoSpacing"/>
        <w:rPr>
          <w:spacing w:val="-4"/>
          <w:sz w:val="33"/>
          <w:szCs w:val="33"/>
          <w:shd w:val="clear" w:color="auto" w:fill="FFFFFF"/>
        </w:rPr>
      </w:pPr>
    </w:p>
    <w:p w:rsidR="00536AF9" w:rsidRDefault="00536AF9" w:rsidP="00706681">
      <w:pPr>
        <w:pStyle w:val="NoSpacing"/>
        <w:rPr>
          <w:spacing w:val="-4"/>
          <w:sz w:val="33"/>
          <w:szCs w:val="33"/>
          <w:shd w:val="clear" w:color="auto" w:fill="FFFFFF"/>
        </w:rPr>
      </w:pPr>
    </w:p>
    <w:p w:rsidR="00AE72FF" w:rsidRDefault="00536AF9" w:rsidP="00706681">
      <w:pPr>
        <w:pStyle w:val="NoSpacing"/>
        <w:rPr>
          <w:spacing w:val="-4"/>
          <w:sz w:val="33"/>
          <w:szCs w:val="33"/>
          <w:shd w:val="clear" w:color="auto" w:fill="FFFFFF"/>
        </w:rPr>
      </w:pPr>
      <w:r>
        <w:rPr>
          <w:spacing w:val="-4"/>
          <w:sz w:val="33"/>
          <w:szCs w:val="33"/>
          <w:shd w:val="clear" w:color="auto" w:fill="FFFFFF"/>
        </w:rPr>
        <w:t>Here is a graph representing the table</w:t>
      </w:r>
      <w:r>
        <w:rPr>
          <w:spacing w:val="-4"/>
          <w:sz w:val="33"/>
          <w:szCs w:val="33"/>
          <w:shd w:val="clear" w:color="auto" w:fill="FFFFFF"/>
        </w:rPr>
        <w:t xml:space="preserve"> and depicting </w:t>
      </w:r>
      <w:proofErr w:type="spellStart"/>
      <w:r>
        <w:rPr>
          <w:spacing w:val="-4"/>
          <w:sz w:val="33"/>
          <w:szCs w:val="33"/>
          <w:shd w:val="clear" w:color="auto" w:fill="FFFFFF"/>
        </w:rPr>
        <w:t>Dimnishing</w:t>
      </w:r>
      <w:proofErr w:type="spellEnd"/>
      <w:r>
        <w:rPr>
          <w:spacing w:val="-4"/>
          <w:sz w:val="33"/>
          <w:szCs w:val="33"/>
          <w:shd w:val="clear" w:color="auto" w:fill="FFFFFF"/>
        </w:rPr>
        <w:t xml:space="preserve"> MU:</w:t>
      </w:r>
    </w:p>
    <w:p w:rsidR="00536AF9" w:rsidRPr="00831599" w:rsidRDefault="00536AF9" w:rsidP="00706681">
      <w:pPr>
        <w:pStyle w:val="NoSpacing"/>
        <w:rPr>
          <w:color w:val="FF0000"/>
          <w:sz w:val="32"/>
          <w:szCs w:val="32"/>
          <w:lang w:val="en-US"/>
        </w:rPr>
      </w:pPr>
    </w:p>
    <w:p w:rsidR="00EA4272" w:rsidRDefault="00536AF9" w:rsidP="00706681">
      <w:pPr>
        <w:pStyle w:val="NoSpacing"/>
        <w:rPr>
          <w:color w:val="FF0000"/>
          <w:sz w:val="32"/>
          <w:szCs w:val="32"/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 wp14:anchorId="1B3B0725" wp14:editId="09F02737">
            <wp:extent cx="5410200" cy="3419475"/>
            <wp:effectExtent l="0" t="0" r="0" b="9525"/>
            <wp:docPr id="1" name="Picture 1" descr="marginal utility analy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inal utility analys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FF" w:rsidRDefault="00AE72FF" w:rsidP="00706681">
      <w:pPr>
        <w:pStyle w:val="NoSpacing"/>
        <w:rPr>
          <w:color w:val="FF0000"/>
          <w:sz w:val="32"/>
          <w:szCs w:val="32"/>
          <w:lang w:val="en-US"/>
        </w:rPr>
      </w:pPr>
    </w:p>
    <w:p w:rsidR="00536AF9" w:rsidRDefault="00536AF9" w:rsidP="00AE72F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color w:val="000000"/>
          <w:sz w:val="33"/>
          <w:szCs w:val="33"/>
          <w:bdr w:val="none" w:sz="0" w:space="0" w:color="auto" w:frame="1"/>
          <w:lang w:eastAsia="en-IN"/>
        </w:rPr>
      </w:pPr>
      <w:r w:rsidRPr="00536AF9">
        <w:rPr>
          <w:rFonts w:ascii="Georgia" w:eastAsia="Times New Roman" w:hAnsi="Georgia" w:cs="Times New Roman"/>
          <w:bCs/>
          <w:color w:val="000000"/>
          <w:sz w:val="33"/>
          <w:szCs w:val="33"/>
          <w:bdr w:val="none" w:sz="0" w:space="0" w:color="auto" w:frame="1"/>
          <w:lang w:eastAsia="en-IN"/>
        </w:rPr>
        <w:t>The graph clearly shows that on consuming 11</w:t>
      </w:r>
      <w:r w:rsidRPr="00536AF9">
        <w:rPr>
          <w:rFonts w:ascii="Georgia" w:eastAsia="Times New Roman" w:hAnsi="Georgia" w:cs="Times New Roman"/>
          <w:bCs/>
          <w:color w:val="000000"/>
          <w:sz w:val="33"/>
          <w:szCs w:val="33"/>
          <w:bdr w:val="none" w:sz="0" w:space="0" w:color="auto" w:frame="1"/>
          <w:vertAlign w:val="superscript"/>
          <w:lang w:eastAsia="en-IN"/>
        </w:rPr>
        <w:t>th</w:t>
      </w:r>
      <w:r w:rsidRPr="00536AF9">
        <w:rPr>
          <w:rFonts w:ascii="Georgia" w:eastAsia="Times New Roman" w:hAnsi="Georgia" w:cs="Times New Roman"/>
          <w:bCs/>
          <w:color w:val="000000"/>
          <w:sz w:val="33"/>
          <w:szCs w:val="33"/>
          <w:bdr w:val="none" w:sz="0" w:space="0" w:color="auto" w:frame="1"/>
          <w:lang w:eastAsia="en-IN"/>
        </w:rPr>
        <w:t xml:space="preserve"> Cup of tea MU diminishes (turns negative).</w:t>
      </w:r>
    </w:p>
    <w:p w:rsidR="00C86899" w:rsidRDefault="00C86899" w:rsidP="00AE72F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color w:val="000000"/>
          <w:sz w:val="33"/>
          <w:szCs w:val="33"/>
          <w:bdr w:val="none" w:sz="0" w:space="0" w:color="auto" w:frame="1"/>
          <w:lang w:eastAsia="en-IN"/>
        </w:rPr>
      </w:pPr>
    </w:p>
    <w:p w:rsidR="00C86899" w:rsidRPr="00C86899" w:rsidRDefault="00C86899" w:rsidP="00AE72F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sz w:val="33"/>
          <w:szCs w:val="33"/>
          <w:bdr w:val="none" w:sz="0" w:space="0" w:color="auto" w:frame="1"/>
          <w:lang w:eastAsia="en-IN"/>
        </w:rPr>
      </w:pPr>
      <w:r w:rsidRPr="00C86899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eastAsia="en-IN"/>
        </w:rPr>
        <w:t xml:space="preserve">The law of </w:t>
      </w:r>
      <w:proofErr w:type="spellStart"/>
      <w:r w:rsidRPr="00C86899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eastAsia="en-IN"/>
        </w:rPr>
        <w:t>Dimnishing</w:t>
      </w:r>
      <w:proofErr w:type="spellEnd"/>
      <w:r w:rsidRPr="00C86899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eastAsia="en-IN"/>
        </w:rPr>
        <w:t xml:space="preserve"> Marginal </w:t>
      </w:r>
      <w:proofErr w:type="spellStart"/>
      <w:r w:rsidRPr="00C86899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eastAsia="en-IN"/>
        </w:rPr>
        <w:t>Utilty</w:t>
      </w:r>
      <w:proofErr w:type="spellEnd"/>
      <w:r w:rsidRPr="00C86899">
        <w:rPr>
          <w:rFonts w:ascii="Georgia" w:eastAsia="Times New Roman" w:hAnsi="Georgia" w:cs="Times New Roman"/>
          <w:b/>
          <w:bCs/>
          <w:sz w:val="33"/>
          <w:szCs w:val="33"/>
          <w:bdr w:val="none" w:sz="0" w:space="0" w:color="auto" w:frame="1"/>
          <w:lang w:eastAsia="en-IN"/>
        </w:rPr>
        <w:t xml:space="preserve"> is the basic law of consumption</w:t>
      </w:r>
      <w:r w:rsidRPr="00C86899">
        <w:rPr>
          <w:rFonts w:ascii="Georgia" w:eastAsia="Times New Roman" w:hAnsi="Georgia" w:cs="Times New Roman"/>
          <w:bCs/>
          <w:sz w:val="33"/>
          <w:szCs w:val="33"/>
          <w:bdr w:val="none" w:sz="0" w:space="0" w:color="auto" w:frame="1"/>
          <w:lang w:eastAsia="en-IN"/>
        </w:rPr>
        <w:t>.</w:t>
      </w:r>
    </w:p>
    <w:p w:rsidR="00536AF9" w:rsidRPr="00536AF9" w:rsidRDefault="00536AF9" w:rsidP="00AE72F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FF0000"/>
          <w:sz w:val="33"/>
          <w:szCs w:val="33"/>
          <w:bdr w:val="none" w:sz="0" w:space="0" w:color="auto" w:frame="1"/>
          <w:lang w:eastAsia="en-IN"/>
        </w:rPr>
      </w:pPr>
    </w:p>
    <w:p w:rsidR="00AE72FF" w:rsidRPr="00C86899" w:rsidRDefault="00AE72FF" w:rsidP="00AE72F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Cs/>
          <w:color w:val="FF0000"/>
          <w:sz w:val="36"/>
          <w:szCs w:val="36"/>
          <w:bdr w:val="none" w:sz="0" w:space="0" w:color="auto" w:frame="1"/>
          <w:lang w:eastAsia="en-IN"/>
        </w:rPr>
      </w:pPr>
      <w:r w:rsidRPr="00C86899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en-IN"/>
        </w:rPr>
        <w:t xml:space="preserve">Assumptions of the Law of </w:t>
      </w:r>
      <w:proofErr w:type="spellStart"/>
      <w:r w:rsidRPr="00C86899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en-IN"/>
        </w:rPr>
        <w:t>Dimnishing</w:t>
      </w:r>
      <w:proofErr w:type="spellEnd"/>
      <w:r w:rsidRPr="00C86899">
        <w:rPr>
          <w:rFonts w:ascii="Georgia" w:eastAsia="Times New Roman" w:hAnsi="Georgia" w:cs="Times New Roman"/>
          <w:b/>
          <w:bCs/>
          <w:color w:val="FF0000"/>
          <w:sz w:val="36"/>
          <w:szCs w:val="36"/>
          <w:bdr w:val="none" w:sz="0" w:space="0" w:color="auto" w:frame="1"/>
          <w:lang w:eastAsia="en-IN"/>
        </w:rPr>
        <w:t xml:space="preserve"> MU</w:t>
      </w:r>
      <w:r w:rsidRPr="00C86899">
        <w:rPr>
          <w:rFonts w:ascii="Georgia" w:eastAsia="Times New Roman" w:hAnsi="Georgia" w:cs="Times New Roman"/>
          <w:bCs/>
          <w:color w:val="FF0000"/>
          <w:sz w:val="36"/>
          <w:szCs w:val="36"/>
          <w:bdr w:val="none" w:sz="0" w:space="0" w:color="auto" w:frame="1"/>
          <w:lang w:eastAsia="en-IN"/>
        </w:rPr>
        <w:t>:</w:t>
      </w:r>
    </w:p>
    <w:p w:rsidR="00AE72FF" w:rsidRPr="00AE72FF" w:rsidRDefault="00AE72FF" w:rsidP="00AE72F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en-IN"/>
        </w:rPr>
      </w:pPr>
    </w:p>
    <w:p w:rsidR="00AE72FF" w:rsidRDefault="00AE72FF" w:rsidP="00AE72F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IN"/>
        </w:rPr>
      </w:pPr>
      <w:r w:rsidRPr="00AE72FF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IN"/>
        </w:rPr>
        <w:t xml:space="preserve">The Law of Diminishing Marginal Utility is based on </w:t>
      </w:r>
      <w:proofErr w:type="gramStart"/>
      <w:r w:rsidRPr="00AE72FF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IN"/>
        </w:rPr>
        <w:t xml:space="preserve">the </w:t>
      </w:r>
      <w:r w:rsidR="00C86899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IN"/>
        </w:rPr>
        <w:t xml:space="preserve"> following</w:t>
      </w:r>
      <w:proofErr w:type="gramEnd"/>
      <w:r w:rsidR="00C86899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IN"/>
        </w:rPr>
        <w:t xml:space="preserve">  </w:t>
      </w:r>
      <w:r w:rsidRPr="00AE72FF">
        <w:rPr>
          <w:rFonts w:ascii="Georgia" w:eastAsia="Times New Roman" w:hAnsi="Georgia" w:cs="Times New Roman"/>
          <w:b/>
          <w:bCs/>
          <w:color w:val="424142"/>
          <w:sz w:val="28"/>
          <w:szCs w:val="28"/>
          <w:bdr w:val="none" w:sz="0" w:space="0" w:color="auto" w:frame="1"/>
          <w:lang w:eastAsia="en-IN"/>
        </w:rPr>
        <w:t>assumptions:</w:t>
      </w:r>
    </w:p>
    <w:p w:rsidR="00536AF9" w:rsidRPr="00AE72FF" w:rsidRDefault="00536AF9" w:rsidP="00AE72F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24142"/>
          <w:sz w:val="28"/>
          <w:szCs w:val="28"/>
          <w:lang w:eastAsia="en-IN"/>
        </w:rPr>
      </w:pPr>
    </w:p>
    <w:p w:rsidR="00AE72FF" w:rsidRPr="00AE72FF" w:rsidRDefault="00AE72FF" w:rsidP="00AE72FF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</w:pPr>
      <w:r w:rsidRPr="00AE72FF"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  <w:t>1. The utility that a consumer gets can be measured and expressed in numbers (</w:t>
      </w:r>
      <w:proofErr w:type="spellStart"/>
      <w:r w:rsidRPr="00AE72FF"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  <w:t>utils</w:t>
      </w:r>
      <w:proofErr w:type="spellEnd"/>
      <w:r w:rsidRPr="00AE72FF"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  <w:t>). Moreover, the units of the commodity must be properly defined.</w:t>
      </w:r>
    </w:p>
    <w:p w:rsidR="00AE72FF" w:rsidRPr="00AE72FF" w:rsidRDefault="00AE72FF" w:rsidP="00AE72FF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</w:pPr>
      <w:r w:rsidRPr="00AE72FF"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  <w:t>2. The maximum price a consumer is ready to pay for the commodity depends on its marginal utility to him.</w:t>
      </w:r>
    </w:p>
    <w:p w:rsidR="00AE72FF" w:rsidRPr="00AE72FF" w:rsidRDefault="00AE72FF" w:rsidP="00AE72FF">
      <w:pPr>
        <w:shd w:val="clear" w:color="auto" w:fill="FFFFFF"/>
        <w:spacing w:after="288" w:line="360" w:lineRule="atLeast"/>
        <w:textAlignment w:val="baseline"/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</w:pPr>
      <w:r w:rsidRPr="00AE72FF">
        <w:rPr>
          <w:rFonts w:ascii="Georgia" w:eastAsia="Times New Roman" w:hAnsi="Georgia" w:cs="Times New Roman"/>
          <w:color w:val="424142"/>
          <w:sz w:val="30"/>
          <w:szCs w:val="30"/>
          <w:lang w:eastAsia="en-IN"/>
        </w:rPr>
        <w:t>3. The taste and preference of the consumer remain unchanged during the period of purchases.</w:t>
      </w:r>
    </w:p>
    <w:p w:rsidR="00AE72FF" w:rsidRPr="00C86899" w:rsidRDefault="006B06D0" w:rsidP="00706681">
      <w:pPr>
        <w:pStyle w:val="NoSpacing"/>
        <w:rPr>
          <w:b/>
          <w:color w:val="FF0000"/>
          <w:sz w:val="40"/>
          <w:szCs w:val="40"/>
          <w:lang w:val="en-US"/>
        </w:rPr>
      </w:pPr>
      <w:r w:rsidRPr="00C86899">
        <w:rPr>
          <w:b/>
          <w:color w:val="FF0000"/>
          <w:sz w:val="40"/>
          <w:szCs w:val="40"/>
          <w:lang w:val="en-US"/>
        </w:rPr>
        <w:t>Limitations of the law of diminishing MU:</w:t>
      </w:r>
    </w:p>
    <w:p w:rsidR="006B06D0" w:rsidRPr="00C86899" w:rsidRDefault="006B06D0" w:rsidP="006B06D0">
      <w:pPr>
        <w:pStyle w:val="NoSpacing"/>
        <w:numPr>
          <w:ilvl w:val="0"/>
          <w:numId w:val="1"/>
        </w:numPr>
        <w:rPr>
          <w:sz w:val="36"/>
          <w:szCs w:val="36"/>
          <w:lang w:val="en-US"/>
        </w:rPr>
      </w:pPr>
      <w:r w:rsidRPr="00C86899">
        <w:rPr>
          <w:sz w:val="36"/>
          <w:szCs w:val="36"/>
          <w:u w:val="single"/>
          <w:lang w:val="en-US"/>
        </w:rPr>
        <w:lastRenderedPageBreak/>
        <w:t>Homogene</w:t>
      </w:r>
      <w:r w:rsidR="00C86899" w:rsidRPr="00C86899">
        <w:rPr>
          <w:sz w:val="36"/>
          <w:szCs w:val="36"/>
          <w:u w:val="single"/>
          <w:lang w:val="en-US"/>
        </w:rPr>
        <w:t>o</w:t>
      </w:r>
      <w:r w:rsidRPr="00C86899">
        <w:rPr>
          <w:sz w:val="36"/>
          <w:szCs w:val="36"/>
          <w:u w:val="single"/>
          <w:lang w:val="en-US"/>
        </w:rPr>
        <w:t>us Units</w:t>
      </w:r>
      <w:r w:rsidRPr="00C86899">
        <w:rPr>
          <w:sz w:val="36"/>
          <w:szCs w:val="36"/>
          <w:lang w:val="en-US"/>
        </w:rPr>
        <w:t>: - There should be a single commodity with</w:t>
      </w:r>
      <w:r w:rsidR="00C86899" w:rsidRPr="00C86899">
        <w:rPr>
          <w:sz w:val="36"/>
          <w:szCs w:val="36"/>
          <w:lang w:val="en-US"/>
        </w:rPr>
        <w:t xml:space="preserve"> </w:t>
      </w:r>
      <w:r w:rsidRPr="00C86899">
        <w:rPr>
          <w:sz w:val="36"/>
          <w:szCs w:val="36"/>
          <w:lang w:val="en-US"/>
        </w:rPr>
        <w:t xml:space="preserve">homogeneous units wanted by an individual </w:t>
      </w:r>
      <w:proofErr w:type="spellStart"/>
      <w:r w:rsidRPr="00C86899">
        <w:rPr>
          <w:sz w:val="36"/>
          <w:szCs w:val="36"/>
          <w:lang w:val="en-US"/>
        </w:rPr>
        <w:t>consumer.All</w:t>
      </w:r>
      <w:proofErr w:type="spellEnd"/>
      <w:r w:rsidRPr="00C86899">
        <w:rPr>
          <w:sz w:val="36"/>
          <w:szCs w:val="36"/>
          <w:lang w:val="en-US"/>
        </w:rPr>
        <w:t xml:space="preserve"> units of Commodity should be of the same weight and quantity.</w:t>
      </w:r>
    </w:p>
    <w:p w:rsidR="006B06D0" w:rsidRPr="00C86899" w:rsidRDefault="006B06D0" w:rsidP="006B06D0">
      <w:pPr>
        <w:pStyle w:val="NoSpacing"/>
        <w:numPr>
          <w:ilvl w:val="0"/>
          <w:numId w:val="1"/>
        </w:numPr>
        <w:rPr>
          <w:sz w:val="36"/>
          <w:szCs w:val="36"/>
          <w:lang w:val="en-US"/>
        </w:rPr>
      </w:pPr>
      <w:r w:rsidRPr="00C86899">
        <w:rPr>
          <w:sz w:val="36"/>
          <w:szCs w:val="36"/>
          <w:u w:val="single"/>
          <w:lang w:val="en-US"/>
        </w:rPr>
        <w:t>No Change in Tastes</w:t>
      </w:r>
      <w:r w:rsidRPr="00C86899">
        <w:rPr>
          <w:sz w:val="36"/>
          <w:szCs w:val="36"/>
          <w:lang w:val="en-US"/>
        </w:rPr>
        <w:t xml:space="preserve"> – There should be no change in tastes, </w:t>
      </w:r>
      <w:proofErr w:type="gramStart"/>
      <w:r w:rsidRPr="00C86899">
        <w:rPr>
          <w:sz w:val="36"/>
          <w:szCs w:val="36"/>
          <w:lang w:val="en-US"/>
        </w:rPr>
        <w:t>habit ,</w:t>
      </w:r>
      <w:proofErr w:type="gramEnd"/>
      <w:r w:rsidRPr="00C86899">
        <w:rPr>
          <w:sz w:val="36"/>
          <w:szCs w:val="36"/>
          <w:lang w:val="en-US"/>
        </w:rPr>
        <w:t xml:space="preserve"> custom and income of the consumers.</w:t>
      </w:r>
    </w:p>
    <w:p w:rsidR="006B06D0" w:rsidRPr="00C86899" w:rsidRDefault="006B06D0" w:rsidP="006B06D0">
      <w:pPr>
        <w:pStyle w:val="NoSpacing"/>
        <w:numPr>
          <w:ilvl w:val="0"/>
          <w:numId w:val="1"/>
        </w:numPr>
        <w:rPr>
          <w:sz w:val="36"/>
          <w:szCs w:val="36"/>
          <w:lang w:val="en-US"/>
        </w:rPr>
      </w:pPr>
      <w:r w:rsidRPr="00C86899">
        <w:rPr>
          <w:sz w:val="36"/>
          <w:szCs w:val="36"/>
          <w:u w:val="single"/>
          <w:lang w:val="en-US"/>
        </w:rPr>
        <w:t>Continuity</w:t>
      </w:r>
      <w:r w:rsidRPr="00C86899">
        <w:rPr>
          <w:sz w:val="36"/>
          <w:szCs w:val="36"/>
          <w:lang w:val="en-US"/>
        </w:rPr>
        <w:t xml:space="preserve"> – There should be continuity in consumption of the commodity.</w:t>
      </w:r>
    </w:p>
    <w:p w:rsidR="006B06D0" w:rsidRPr="00C86899" w:rsidRDefault="006B06D0" w:rsidP="006B06D0">
      <w:pPr>
        <w:pStyle w:val="NoSpacing"/>
        <w:numPr>
          <w:ilvl w:val="0"/>
          <w:numId w:val="1"/>
        </w:numPr>
        <w:rPr>
          <w:sz w:val="36"/>
          <w:szCs w:val="36"/>
          <w:lang w:val="en-US"/>
        </w:rPr>
      </w:pPr>
      <w:r w:rsidRPr="00C86899">
        <w:rPr>
          <w:sz w:val="36"/>
          <w:szCs w:val="36"/>
          <w:u w:val="single"/>
          <w:lang w:val="en-US"/>
        </w:rPr>
        <w:t>Indivisible Goods</w:t>
      </w:r>
      <w:r w:rsidRPr="00C86899">
        <w:rPr>
          <w:sz w:val="36"/>
          <w:szCs w:val="36"/>
          <w:lang w:val="en-US"/>
        </w:rPr>
        <w:t xml:space="preserve"> – The commodity should not be indivisible.</w:t>
      </w:r>
    </w:p>
    <w:p w:rsidR="00C86899" w:rsidRPr="00C86899" w:rsidRDefault="00C86899" w:rsidP="006B06D0">
      <w:pPr>
        <w:pStyle w:val="NoSpacing"/>
        <w:numPr>
          <w:ilvl w:val="0"/>
          <w:numId w:val="1"/>
        </w:numPr>
        <w:rPr>
          <w:sz w:val="36"/>
          <w:szCs w:val="36"/>
          <w:lang w:val="en-US"/>
        </w:rPr>
      </w:pPr>
      <w:r w:rsidRPr="00C86899">
        <w:rPr>
          <w:sz w:val="36"/>
          <w:szCs w:val="36"/>
          <w:u w:val="single"/>
          <w:lang w:val="en-US"/>
        </w:rPr>
        <w:t>Rational Consumer</w:t>
      </w:r>
      <w:r w:rsidRPr="00C86899">
        <w:rPr>
          <w:sz w:val="36"/>
          <w:szCs w:val="36"/>
          <w:lang w:val="en-US"/>
        </w:rPr>
        <w:t xml:space="preserve"> – The consumer should act rationally.</w:t>
      </w:r>
    </w:p>
    <w:sectPr w:rsidR="00C86899" w:rsidRPr="00C8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87" w:rsidRDefault="00646587" w:rsidP="00706681">
      <w:pPr>
        <w:spacing w:after="0" w:line="240" w:lineRule="auto"/>
      </w:pPr>
      <w:r>
        <w:separator/>
      </w:r>
    </w:p>
  </w:endnote>
  <w:endnote w:type="continuationSeparator" w:id="0">
    <w:p w:rsidR="00646587" w:rsidRDefault="00646587" w:rsidP="007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87" w:rsidRDefault="00646587" w:rsidP="00706681">
      <w:pPr>
        <w:spacing w:after="0" w:line="240" w:lineRule="auto"/>
      </w:pPr>
      <w:r>
        <w:separator/>
      </w:r>
    </w:p>
  </w:footnote>
  <w:footnote w:type="continuationSeparator" w:id="0">
    <w:p w:rsidR="00646587" w:rsidRDefault="00646587" w:rsidP="007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2C42"/>
    <w:multiLevelType w:val="hybridMultilevel"/>
    <w:tmpl w:val="ACF83288"/>
    <w:lvl w:ilvl="0" w:tplc="04E291A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81"/>
    <w:rsid w:val="00027DCD"/>
    <w:rsid w:val="00536AF9"/>
    <w:rsid w:val="00646587"/>
    <w:rsid w:val="006B06D0"/>
    <w:rsid w:val="00706681"/>
    <w:rsid w:val="00831599"/>
    <w:rsid w:val="00A91D88"/>
    <w:rsid w:val="00AE72FF"/>
    <w:rsid w:val="00C86899"/>
    <w:rsid w:val="00EA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81"/>
  </w:style>
  <w:style w:type="paragraph" w:styleId="Footer">
    <w:name w:val="footer"/>
    <w:basedOn w:val="Normal"/>
    <w:link w:val="FooterChar"/>
    <w:uiPriority w:val="99"/>
    <w:unhideWhenUsed/>
    <w:rsid w:val="0070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81"/>
  </w:style>
  <w:style w:type="paragraph" w:styleId="NoSpacing">
    <w:name w:val="No Spacing"/>
    <w:uiPriority w:val="1"/>
    <w:qFormat/>
    <w:rsid w:val="00706681"/>
    <w:pPr>
      <w:spacing w:after="0" w:line="240" w:lineRule="auto"/>
    </w:pPr>
  </w:style>
  <w:style w:type="table" w:styleId="TableGrid">
    <w:name w:val="Table Grid"/>
    <w:basedOn w:val="TableNormal"/>
    <w:uiPriority w:val="59"/>
    <w:rsid w:val="00EA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81"/>
  </w:style>
  <w:style w:type="paragraph" w:styleId="Footer">
    <w:name w:val="footer"/>
    <w:basedOn w:val="Normal"/>
    <w:link w:val="FooterChar"/>
    <w:uiPriority w:val="99"/>
    <w:unhideWhenUsed/>
    <w:rsid w:val="0070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81"/>
  </w:style>
  <w:style w:type="paragraph" w:styleId="NoSpacing">
    <w:name w:val="No Spacing"/>
    <w:uiPriority w:val="1"/>
    <w:qFormat/>
    <w:rsid w:val="00706681"/>
    <w:pPr>
      <w:spacing w:after="0" w:line="240" w:lineRule="auto"/>
    </w:pPr>
  </w:style>
  <w:style w:type="table" w:styleId="TableGrid">
    <w:name w:val="Table Grid"/>
    <w:basedOn w:val="TableNormal"/>
    <w:uiPriority w:val="59"/>
    <w:rsid w:val="00EA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2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CBI</cp:lastModifiedBy>
  <cp:revision>1</cp:revision>
  <dcterms:created xsi:type="dcterms:W3CDTF">2020-10-18T15:56:00Z</dcterms:created>
  <dcterms:modified xsi:type="dcterms:W3CDTF">2020-10-18T17:08:00Z</dcterms:modified>
</cp:coreProperties>
</file>